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23" w:rsidRPr="00507023" w:rsidRDefault="00E935BF" w:rsidP="00507023">
      <w:pPr>
        <w:spacing w:line="360" w:lineRule="auto"/>
        <w:ind w:left="4248" w:firstLine="708"/>
        <w:jc w:val="right"/>
        <w:rPr>
          <w:b w:val="0"/>
          <w:bCs w:val="0"/>
          <w:i/>
          <w:iCs/>
          <w:sz w:val="28"/>
          <w:szCs w:val="28"/>
        </w:rPr>
      </w:pPr>
      <w:r w:rsidRPr="00E935BF">
        <w:rPr>
          <w:b w:val="0"/>
          <w:bCs w:val="0"/>
          <w:i/>
          <w:iCs/>
          <w:sz w:val="28"/>
          <w:szCs w:val="28"/>
          <w:u w:val="single"/>
        </w:rPr>
        <w:t>Kotirovka Sorğusuna</w:t>
      </w:r>
      <w:r w:rsidR="000D112E" w:rsidRPr="00E935BF">
        <w:rPr>
          <w:b w:val="0"/>
          <w:bCs w:val="0"/>
          <w:i/>
          <w:iCs/>
          <w:sz w:val="28"/>
          <w:szCs w:val="28"/>
          <w:u w:val="single"/>
        </w:rPr>
        <w:t xml:space="preserve">  Əlavə</w:t>
      </w:r>
      <w:r w:rsidR="000D112E" w:rsidRPr="0062780A">
        <w:rPr>
          <w:b w:val="0"/>
          <w:bCs w:val="0"/>
          <w:i/>
          <w:iCs/>
          <w:sz w:val="28"/>
          <w:szCs w:val="28"/>
        </w:rPr>
        <w:t xml:space="preserve"> 1</w:t>
      </w:r>
    </w:p>
    <w:p w:rsidR="00507023" w:rsidRDefault="00507023" w:rsidP="00C577CE">
      <w:pPr>
        <w:shd w:val="clear" w:color="auto" w:fill="FFFFFF"/>
        <w:spacing w:line="360" w:lineRule="auto"/>
        <w:ind w:left="91"/>
        <w:jc w:val="center"/>
        <w:rPr>
          <w:bCs w:val="0"/>
          <w:sz w:val="28"/>
          <w:szCs w:val="28"/>
        </w:rPr>
      </w:pPr>
    </w:p>
    <w:p w:rsidR="00E935BF" w:rsidRDefault="00EC0029" w:rsidP="00C577CE">
      <w:pPr>
        <w:shd w:val="clear" w:color="auto" w:fill="FFFFFF"/>
        <w:spacing w:line="360" w:lineRule="auto"/>
        <w:ind w:left="91"/>
        <w:jc w:val="center"/>
        <w:rPr>
          <w:bCs w:val="0"/>
          <w:sz w:val="28"/>
          <w:szCs w:val="28"/>
        </w:rPr>
      </w:pPr>
      <w:r w:rsidRPr="00EC0029">
        <w:rPr>
          <w:bCs w:val="0"/>
          <w:sz w:val="28"/>
          <w:szCs w:val="28"/>
        </w:rPr>
        <w:t>Əmanətlərin Sığortalanması Fondunda və LPO banklarda poçt daşıma xidmətinin göstərilməsi</w:t>
      </w:r>
      <w:r w:rsidRPr="000516C0">
        <w:rPr>
          <w:bCs w:val="0"/>
          <w:sz w:val="28"/>
          <w:szCs w:val="28"/>
        </w:rPr>
        <w:t xml:space="preserve"> </w:t>
      </w:r>
      <w:r w:rsidR="000D112E" w:rsidRPr="000516C0">
        <w:rPr>
          <w:bCs w:val="0"/>
          <w:sz w:val="28"/>
          <w:szCs w:val="28"/>
        </w:rPr>
        <w:t>üzrə xidmət proqramı</w:t>
      </w:r>
      <w:r w:rsidR="00E935BF">
        <w:rPr>
          <w:bCs w:val="0"/>
          <w:sz w:val="28"/>
          <w:szCs w:val="28"/>
        </w:rPr>
        <w:t>na dair tələblər</w:t>
      </w:r>
    </w:p>
    <w:p w:rsidR="00B05430" w:rsidRDefault="00B05430" w:rsidP="00507023">
      <w:pPr>
        <w:shd w:val="clear" w:color="auto" w:fill="FFFFFF"/>
        <w:spacing w:line="360" w:lineRule="auto"/>
        <w:rPr>
          <w:bCs w:val="0"/>
          <w:sz w:val="28"/>
          <w:szCs w:val="28"/>
        </w:rPr>
      </w:pPr>
      <w:bookmarkStart w:id="0" w:name="_GoBack"/>
      <w:bookmarkEnd w:id="0"/>
    </w:p>
    <w:p w:rsidR="00C577CE" w:rsidRPr="00F26EB2" w:rsidRDefault="00C577CE" w:rsidP="00F26EB2">
      <w:pPr>
        <w:widowControl w:val="0"/>
        <w:tabs>
          <w:tab w:val="left" w:pos="910"/>
        </w:tabs>
        <w:autoSpaceDE w:val="0"/>
        <w:autoSpaceDN w:val="0"/>
        <w:spacing w:before="1"/>
        <w:rPr>
          <w:b w:val="0"/>
          <w:bCs w:val="0"/>
          <w:color w:val="000000"/>
          <w:sz w:val="27"/>
          <w:szCs w:val="27"/>
          <w:lang w:eastAsia="en-US"/>
        </w:rPr>
      </w:pPr>
    </w:p>
    <w:p w:rsidR="00EC0029" w:rsidRPr="00EC0029" w:rsidRDefault="00A46CE4" w:rsidP="00EC0029">
      <w:pPr>
        <w:pStyle w:val="NormalWeb"/>
        <w:rPr>
          <w:color w:val="000000"/>
          <w:sz w:val="27"/>
          <w:szCs w:val="27"/>
          <w:lang w:val="az-Latn-AZ"/>
        </w:rPr>
      </w:pPr>
      <w:r>
        <w:rPr>
          <w:color w:val="000000"/>
          <w:sz w:val="27"/>
          <w:szCs w:val="27"/>
          <w:lang w:val="az-Latn-AZ"/>
        </w:rPr>
        <w:t>1.</w:t>
      </w:r>
      <w:r w:rsidR="00EC0029" w:rsidRPr="00EC0029">
        <w:rPr>
          <w:color w:val="000000"/>
          <w:sz w:val="27"/>
          <w:szCs w:val="27"/>
          <w:lang w:val="az-Latn-AZ"/>
        </w:rPr>
        <w:t xml:space="preserve"> Podratçıların analoji işlərin yerinə yetirilməsində təcrübəsi ən azı aşağıda verilmiş tələblərə uyğun olmalıdır:</w:t>
      </w:r>
    </w:p>
    <w:p w:rsidR="00EC0029" w:rsidRPr="00EC0029" w:rsidRDefault="00A46CE4" w:rsidP="00EC0029">
      <w:pPr>
        <w:pStyle w:val="NormalWeb"/>
        <w:rPr>
          <w:color w:val="000000"/>
          <w:sz w:val="27"/>
          <w:szCs w:val="27"/>
          <w:lang w:val="az-Latn-AZ"/>
        </w:rPr>
      </w:pPr>
      <w:r>
        <w:rPr>
          <w:color w:val="000000"/>
          <w:sz w:val="27"/>
          <w:szCs w:val="27"/>
          <w:lang w:val="az-Latn-AZ"/>
        </w:rPr>
        <w:t>1.1</w:t>
      </w:r>
      <w:r w:rsidR="00547EEB">
        <w:rPr>
          <w:color w:val="000000"/>
          <w:sz w:val="27"/>
          <w:szCs w:val="27"/>
          <w:lang w:val="az-Latn-AZ"/>
        </w:rPr>
        <w:t>. Podratç</w:t>
      </w:r>
      <w:r w:rsidR="00EC0029" w:rsidRPr="00EC0029">
        <w:rPr>
          <w:color w:val="000000"/>
          <w:sz w:val="27"/>
          <w:szCs w:val="27"/>
          <w:lang w:val="az-Latn-AZ"/>
        </w:rPr>
        <w:t>ının analoji xidmət sahəsində ən azı 10 il təcrübəsi olmalıdır.</w:t>
      </w:r>
    </w:p>
    <w:p w:rsidR="00EC0029" w:rsidRPr="00EC0029" w:rsidRDefault="00EC0029" w:rsidP="00EC0029">
      <w:pPr>
        <w:pStyle w:val="NormalWeb"/>
        <w:rPr>
          <w:color w:val="000000"/>
          <w:sz w:val="27"/>
          <w:szCs w:val="27"/>
          <w:lang w:val="az-Latn-AZ"/>
        </w:rPr>
      </w:pPr>
      <w:r w:rsidRPr="00EC0029">
        <w:rPr>
          <w:color w:val="000000"/>
          <w:sz w:val="27"/>
          <w:szCs w:val="27"/>
          <w:lang w:val="az-Latn-AZ"/>
        </w:rPr>
        <w:t>1.2 Rayonlarda nümayəndəliklərin mövcud olması.</w:t>
      </w:r>
    </w:p>
    <w:p w:rsidR="00EC0029" w:rsidRPr="00EC0029" w:rsidRDefault="00EC0029" w:rsidP="00EC0029">
      <w:pPr>
        <w:pStyle w:val="NormalWeb"/>
        <w:rPr>
          <w:color w:val="000000"/>
          <w:sz w:val="27"/>
          <w:szCs w:val="27"/>
          <w:lang w:val="az-Latn-AZ"/>
        </w:rPr>
      </w:pPr>
      <w:r w:rsidRPr="00EC0029">
        <w:rPr>
          <w:color w:val="000000"/>
          <w:sz w:val="27"/>
          <w:szCs w:val="27"/>
          <w:lang w:val="az-Latn-AZ"/>
        </w:rPr>
        <w:t xml:space="preserve">1.3. Podratçıların son 2 il (2019-2020-ci illər) ərzində anoloji işlər üzrə yerinə yetirdiyi müqavilələrin həcmi 150 000 (yüz əlli min) manatdan az olmamalıdır. </w:t>
      </w:r>
    </w:p>
    <w:p w:rsidR="00EC0029" w:rsidRPr="00EC0029" w:rsidRDefault="00EC0029" w:rsidP="00EC0029">
      <w:pPr>
        <w:pStyle w:val="NormalWeb"/>
        <w:rPr>
          <w:color w:val="000000"/>
          <w:sz w:val="27"/>
          <w:szCs w:val="27"/>
          <w:lang w:val="az-Latn-AZ"/>
        </w:rPr>
      </w:pPr>
      <w:r w:rsidRPr="00EC0029">
        <w:rPr>
          <w:color w:val="000000"/>
          <w:sz w:val="27"/>
          <w:szCs w:val="27"/>
          <w:lang w:val="az-Latn-AZ"/>
        </w:rPr>
        <w:t>Qeyd: 1. İddiaçının maliyyə dövriyyəsi qiymətləndirilən zaman maliyyə dövriyyəsi haqqında bank tərəfindən verilmiş arayışa istinad olunacaqdır.</w:t>
      </w:r>
    </w:p>
    <w:p w:rsidR="00EC0029" w:rsidRPr="00EC0029" w:rsidRDefault="00EC0029" w:rsidP="00EC0029">
      <w:pPr>
        <w:pStyle w:val="NormalWeb"/>
        <w:rPr>
          <w:color w:val="000000"/>
          <w:sz w:val="27"/>
          <w:szCs w:val="27"/>
          <w:lang w:val="az-Latn-AZ"/>
        </w:rPr>
      </w:pPr>
      <w:r w:rsidRPr="00EC0029">
        <w:rPr>
          <w:color w:val="000000"/>
          <w:sz w:val="27"/>
          <w:szCs w:val="27"/>
          <w:lang w:val="az-Latn-AZ"/>
        </w:rPr>
        <w:t xml:space="preserve">2. Satınalma müqaviləsinin icrası üçün podratçılar ən azı aşağıda qeyd olunan sayda ixtisaslı kadrları cəlb etməlidirlər (kadrlar haqqında aşağıdakı tələbləri nümunə kimi istifadə edərək satınalma predmeti olan işlərin icrası üçün vacib olan kadr ixtisaslarını və onların sayını qeyd etmək): </w:t>
      </w:r>
    </w:p>
    <w:p w:rsidR="00EC0029" w:rsidRDefault="00EC0029" w:rsidP="00EC0029">
      <w:pPr>
        <w:pStyle w:val="NormalWeb"/>
        <w:rPr>
          <w:color w:val="000000"/>
          <w:sz w:val="27"/>
          <w:szCs w:val="27"/>
        </w:rPr>
      </w:pPr>
      <w:r>
        <w:rPr>
          <w:color w:val="000000"/>
          <w:sz w:val="27"/>
          <w:szCs w:val="27"/>
        </w:rPr>
        <w:t>Kardinator – 3 nəfər</w:t>
      </w:r>
    </w:p>
    <w:p w:rsidR="00EC0029" w:rsidRDefault="00EC0029" w:rsidP="00EC0029">
      <w:pPr>
        <w:pStyle w:val="NormalWeb"/>
        <w:rPr>
          <w:color w:val="000000"/>
          <w:sz w:val="27"/>
          <w:szCs w:val="27"/>
        </w:rPr>
      </w:pPr>
      <w:r>
        <w:rPr>
          <w:color w:val="000000"/>
          <w:sz w:val="27"/>
          <w:szCs w:val="27"/>
        </w:rPr>
        <w:t>Operator – 4 nəfər</w:t>
      </w:r>
    </w:p>
    <w:p w:rsidR="00EC0029" w:rsidRDefault="00EC0029" w:rsidP="00EC0029">
      <w:pPr>
        <w:pStyle w:val="NormalWeb"/>
        <w:rPr>
          <w:color w:val="000000"/>
          <w:sz w:val="27"/>
          <w:szCs w:val="27"/>
        </w:rPr>
      </w:pPr>
      <w:r>
        <w:rPr>
          <w:color w:val="000000"/>
          <w:sz w:val="27"/>
          <w:szCs w:val="27"/>
        </w:rPr>
        <w:t>Kuryer- 15 nəfər (daimi işçi)</w:t>
      </w:r>
    </w:p>
    <w:p w:rsidR="00EC0029" w:rsidRDefault="00EC0029" w:rsidP="00EC0029">
      <w:pPr>
        <w:pStyle w:val="NormalWeb"/>
        <w:rPr>
          <w:color w:val="000000"/>
          <w:sz w:val="27"/>
          <w:szCs w:val="27"/>
        </w:rPr>
      </w:pPr>
      <w:r>
        <w:rPr>
          <w:color w:val="000000"/>
          <w:sz w:val="27"/>
          <w:szCs w:val="27"/>
        </w:rPr>
        <w:t>Qeyd 1: Hər bir işçinin və ya Fiziki şəxsin müqaviləsinin surəti təqdim olunmalıdır.</w:t>
      </w:r>
    </w:p>
    <w:p w:rsidR="00EC0029" w:rsidRDefault="00EC0029" w:rsidP="00EC0029">
      <w:pPr>
        <w:pStyle w:val="NormalWeb"/>
        <w:rPr>
          <w:color w:val="000000"/>
          <w:sz w:val="27"/>
          <w:szCs w:val="27"/>
        </w:rPr>
      </w:pPr>
      <w:r>
        <w:rPr>
          <w:color w:val="000000"/>
          <w:sz w:val="27"/>
          <w:szCs w:val="27"/>
        </w:rPr>
        <w:t>2.1. Podratçı ən azı aşağıda verilmiş minimum tələblərə uyğun istehsal texniki imkanlara malik olmalıdırlar:</w:t>
      </w:r>
    </w:p>
    <w:p w:rsidR="00EC0029" w:rsidRDefault="00EC0029" w:rsidP="00EC0029">
      <w:pPr>
        <w:pStyle w:val="NormalWeb"/>
        <w:rPr>
          <w:color w:val="000000"/>
          <w:sz w:val="27"/>
          <w:szCs w:val="27"/>
        </w:rPr>
      </w:pPr>
      <w:r>
        <w:rPr>
          <w:color w:val="000000"/>
          <w:sz w:val="27"/>
          <w:szCs w:val="27"/>
        </w:rPr>
        <w:t>Nəqliyyat vasitəsi – 10 maşın</w:t>
      </w:r>
    </w:p>
    <w:p w:rsidR="00EC0029" w:rsidRDefault="00EC0029" w:rsidP="00EC0029">
      <w:pPr>
        <w:pStyle w:val="NormalWeb"/>
        <w:rPr>
          <w:color w:val="000000"/>
          <w:sz w:val="27"/>
          <w:szCs w:val="27"/>
        </w:rPr>
      </w:pPr>
      <w:r>
        <w:rPr>
          <w:color w:val="000000"/>
          <w:sz w:val="27"/>
          <w:szCs w:val="27"/>
        </w:rPr>
        <w:t>Nəqliyyat vasitəsi – 5 mapet</w:t>
      </w:r>
    </w:p>
    <w:p w:rsidR="00EC0029" w:rsidRDefault="00EC0029" w:rsidP="00EC0029">
      <w:pPr>
        <w:pStyle w:val="NormalWeb"/>
        <w:rPr>
          <w:color w:val="000000"/>
          <w:sz w:val="27"/>
          <w:szCs w:val="27"/>
        </w:rPr>
      </w:pPr>
      <w:r>
        <w:rPr>
          <w:color w:val="000000"/>
          <w:sz w:val="27"/>
          <w:szCs w:val="27"/>
        </w:rPr>
        <w:t>3.Podratçı aşağıdakı adları qeyd olunan lisenziyaya və ya icazəyə malik olmalıdır:</w:t>
      </w:r>
    </w:p>
    <w:p w:rsidR="00EC0029" w:rsidRDefault="00EC0029" w:rsidP="00EC0029">
      <w:pPr>
        <w:pStyle w:val="NormalWeb"/>
        <w:rPr>
          <w:color w:val="000000"/>
          <w:sz w:val="27"/>
          <w:szCs w:val="27"/>
        </w:rPr>
      </w:pPr>
      <w:r>
        <w:rPr>
          <w:color w:val="000000"/>
          <w:sz w:val="27"/>
          <w:szCs w:val="27"/>
        </w:rPr>
        <w:t>3.1. Sürətli poçt xidməti üzrə aidiyyatı Dövlət qurumu tərəfindən verilmiş Lisenziya</w:t>
      </w:r>
    </w:p>
    <w:p w:rsidR="00EC0029" w:rsidRDefault="00EC0029" w:rsidP="00EC0029">
      <w:pPr>
        <w:pStyle w:val="NormalWeb"/>
        <w:rPr>
          <w:color w:val="000000"/>
          <w:sz w:val="27"/>
          <w:szCs w:val="27"/>
        </w:rPr>
      </w:pPr>
      <w:r>
        <w:rPr>
          <w:color w:val="000000"/>
          <w:sz w:val="27"/>
          <w:szCs w:val="27"/>
        </w:rPr>
        <w:t>Qeyd:</w:t>
      </w:r>
    </w:p>
    <w:p w:rsidR="00EC0029" w:rsidRDefault="00EC0029" w:rsidP="00EC0029">
      <w:pPr>
        <w:pStyle w:val="NormalWeb"/>
        <w:rPr>
          <w:color w:val="000000"/>
          <w:sz w:val="27"/>
          <w:szCs w:val="27"/>
        </w:rPr>
      </w:pPr>
      <w:r>
        <w:rPr>
          <w:color w:val="000000"/>
          <w:sz w:val="27"/>
          <w:szCs w:val="27"/>
        </w:rPr>
        <w:lastRenderedPageBreak/>
        <w:t>- 1 İddiaçının maliyyə dövriyyəsi qiymətləndirilən zaman maliyyə dövriyyəsi haqqında bank tərəfindən verilmiş arayışa istinad olunacaqdır.</w:t>
      </w:r>
    </w:p>
    <w:p w:rsidR="00EC0029" w:rsidRDefault="00EC0029" w:rsidP="00EC0029">
      <w:pPr>
        <w:pStyle w:val="NormalWeb"/>
        <w:rPr>
          <w:color w:val="000000"/>
          <w:sz w:val="27"/>
          <w:szCs w:val="27"/>
        </w:rPr>
      </w:pPr>
      <w:r>
        <w:rPr>
          <w:color w:val="000000"/>
          <w:sz w:val="27"/>
          <w:szCs w:val="27"/>
        </w:rPr>
        <w:t>Podratçıların ixtisas göstəricilərinin təsdiq olunması üçün “İxtisas göstəriciləri haqqında məlumat” standart formasında verilmiş formalar və sənədlərlə yanaşı aşağıda qeyd olunan sənədlər də təqdim olunmalıdır:</w:t>
      </w:r>
    </w:p>
    <w:p w:rsidR="00EC0029" w:rsidRDefault="00EC0029" w:rsidP="00EC0029">
      <w:pPr>
        <w:pStyle w:val="NormalWeb"/>
        <w:rPr>
          <w:color w:val="000000"/>
          <w:sz w:val="27"/>
          <w:szCs w:val="27"/>
        </w:rPr>
      </w:pPr>
      <w:r>
        <w:rPr>
          <w:color w:val="000000"/>
          <w:sz w:val="27"/>
          <w:szCs w:val="27"/>
        </w:rPr>
        <w:t>- 2020-ci ilin (cari ildən əvvəlki ili və ya illəri yazmaq) yekunları üzrə maliyyə hesabatı (mənfəət bəyannaməsi);</w:t>
      </w:r>
    </w:p>
    <w:p w:rsidR="00EC0029" w:rsidRDefault="00EC0029" w:rsidP="00EC0029">
      <w:pPr>
        <w:pStyle w:val="NormalWeb"/>
        <w:rPr>
          <w:color w:val="000000"/>
          <w:sz w:val="27"/>
          <w:szCs w:val="27"/>
        </w:rPr>
      </w:pPr>
      <w:r>
        <w:rPr>
          <w:color w:val="000000"/>
          <w:sz w:val="27"/>
          <w:szCs w:val="27"/>
        </w:rPr>
        <w:t>- podratçının rekvizitləri;</w:t>
      </w:r>
    </w:p>
    <w:p w:rsidR="00EC0029" w:rsidRDefault="00EC0029" w:rsidP="00EC0029">
      <w:pPr>
        <w:pStyle w:val="NormalWeb"/>
        <w:rPr>
          <w:color w:val="000000"/>
          <w:sz w:val="27"/>
          <w:szCs w:val="27"/>
        </w:rPr>
      </w:pPr>
      <w:r>
        <w:rPr>
          <w:color w:val="000000"/>
          <w:sz w:val="27"/>
          <w:szCs w:val="27"/>
        </w:rPr>
        <w:t>- Azərbaycan Respublikasının Vergilər Nazirliyindən ödənilməsi vaxtı keçmiş borcunun olub-olmaması haqqında rəsmi arayış;</w:t>
      </w:r>
    </w:p>
    <w:p w:rsidR="00EC0029" w:rsidRDefault="00EC0029" w:rsidP="00EC0029">
      <w:pPr>
        <w:pStyle w:val="NormalWeb"/>
        <w:rPr>
          <w:color w:val="000000"/>
          <w:sz w:val="27"/>
          <w:szCs w:val="27"/>
        </w:rPr>
      </w:pPr>
      <w:r>
        <w:rPr>
          <w:color w:val="000000"/>
          <w:sz w:val="27"/>
          <w:szCs w:val="27"/>
        </w:rPr>
        <w:t>- Azərbaycan Respublikasının Dövlət Sosial Müdafiə Fondundan ödənilməsi vaxtı keçmiş borcunun olub-olmaması haqqında rəsmi arayış</w:t>
      </w:r>
    </w:p>
    <w:p w:rsidR="00EC0029" w:rsidRDefault="00EC0029" w:rsidP="00EC0029">
      <w:pPr>
        <w:pStyle w:val="NormalWeb"/>
        <w:rPr>
          <w:color w:val="000000"/>
          <w:sz w:val="27"/>
          <w:szCs w:val="27"/>
        </w:rPr>
      </w:pPr>
      <w:r>
        <w:rPr>
          <w:color w:val="000000"/>
          <w:sz w:val="27"/>
          <w:szCs w:val="27"/>
        </w:rPr>
        <w:t>- Podratçının nizamnaməsinin surəti.</w:t>
      </w:r>
    </w:p>
    <w:p w:rsidR="00EC0029" w:rsidRDefault="00EC0029" w:rsidP="00EC0029">
      <w:pPr>
        <w:pStyle w:val="NormalWeb"/>
        <w:rPr>
          <w:color w:val="000000"/>
          <w:sz w:val="27"/>
          <w:szCs w:val="27"/>
        </w:rPr>
      </w:pPr>
      <w:r>
        <w:rPr>
          <w:color w:val="000000"/>
          <w:sz w:val="27"/>
          <w:szCs w:val="27"/>
        </w:rPr>
        <w:t>- Hüquqi statusunu təsdiq edən sənədlər.</w:t>
      </w:r>
    </w:p>
    <w:p w:rsidR="00EC0029" w:rsidRDefault="00EC0029" w:rsidP="00EC0029">
      <w:pPr>
        <w:pStyle w:val="NormalWeb"/>
        <w:rPr>
          <w:color w:val="000000"/>
          <w:sz w:val="27"/>
          <w:szCs w:val="27"/>
        </w:rPr>
      </w:pPr>
      <w:r>
        <w:rPr>
          <w:color w:val="000000"/>
          <w:sz w:val="27"/>
          <w:szCs w:val="27"/>
        </w:rPr>
        <w:t>- Son 24 ay (ayların sayını və ya illəri qeyd etməklə dövrü yazmaq) ərzində (əgər daha az müddət fəaliyyət göstərirsə, bütün fəaliyyəti dövründə) podratçının dövlət satınalmalarında iştirakı, yerinə yetirdiyi analoji müqavilələr, səlahiyyətli işçilərinin peşəkar fəaliyyəti, istehsal-texniki imkanları, o cümlədən: istehsalat məntəqələri, nəqliyyat vasitələri, avadanlıqlar haqqında məlumat, müvafiq sənədlərin surəti.</w:t>
      </w:r>
    </w:p>
    <w:p w:rsidR="00EC0029" w:rsidRDefault="00EC0029" w:rsidP="00EC0029">
      <w:pPr>
        <w:pStyle w:val="NormalWeb"/>
        <w:rPr>
          <w:color w:val="000000"/>
          <w:sz w:val="27"/>
          <w:szCs w:val="27"/>
        </w:rPr>
      </w:pPr>
    </w:p>
    <w:p w:rsidR="0048339F" w:rsidRPr="00EC0029" w:rsidRDefault="0048339F" w:rsidP="0048339F">
      <w:pPr>
        <w:rPr>
          <w:lang w:val="en-US"/>
        </w:rPr>
      </w:pPr>
    </w:p>
    <w:p w:rsidR="0048339F" w:rsidRPr="0048339F" w:rsidRDefault="0048339F" w:rsidP="0048339F"/>
    <w:p w:rsidR="0048339F" w:rsidRDefault="0048339F" w:rsidP="0048339F"/>
    <w:p w:rsidR="0048339F" w:rsidRDefault="0048339F" w:rsidP="0048339F"/>
    <w:sectPr w:rsidR="0048339F" w:rsidSect="00E441C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BA" w:rsidRDefault="00404DBA" w:rsidP="000D112E">
      <w:r>
        <w:separator/>
      </w:r>
    </w:p>
  </w:endnote>
  <w:endnote w:type="continuationSeparator" w:id="0">
    <w:p w:rsidR="00404DBA" w:rsidRDefault="00404DBA" w:rsidP="000D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BA" w:rsidRDefault="00404DBA" w:rsidP="000D112E">
      <w:r>
        <w:separator/>
      </w:r>
    </w:p>
  </w:footnote>
  <w:footnote w:type="continuationSeparator" w:id="0">
    <w:p w:rsidR="00404DBA" w:rsidRDefault="00404DBA" w:rsidP="000D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06CCD"/>
    <w:multiLevelType w:val="hybridMultilevel"/>
    <w:tmpl w:val="06A40AD6"/>
    <w:lvl w:ilvl="0" w:tplc="2C7CE1DA">
      <w:start w:val="1"/>
      <w:numFmt w:val="decimal"/>
      <w:lvlText w:val="%1."/>
      <w:lvlJc w:val="left"/>
      <w:pPr>
        <w:ind w:left="984" w:hanging="360"/>
      </w:pPr>
      <w:rPr>
        <w:rFonts w:hint="default"/>
        <w:b/>
        <w:sz w:val="28"/>
        <w:szCs w:val="28"/>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33284389"/>
    <w:multiLevelType w:val="hybridMultilevel"/>
    <w:tmpl w:val="0A9C6722"/>
    <w:lvl w:ilvl="0" w:tplc="142C539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00330FF"/>
    <w:multiLevelType w:val="hybridMultilevel"/>
    <w:tmpl w:val="77FEE720"/>
    <w:lvl w:ilvl="0" w:tplc="8F701E3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5B33D6"/>
    <w:multiLevelType w:val="hybridMultilevel"/>
    <w:tmpl w:val="B420B6AE"/>
    <w:lvl w:ilvl="0" w:tplc="9E36EC70">
      <w:start w:val="1"/>
      <w:numFmt w:val="decimal"/>
      <w:lvlText w:val="%1."/>
      <w:lvlJc w:val="left"/>
      <w:pPr>
        <w:ind w:left="100" w:hanging="322"/>
      </w:pPr>
      <w:rPr>
        <w:rFonts w:ascii="Arial MT" w:eastAsia="Arial MT" w:hAnsi="Arial MT" w:cs="Arial MT" w:hint="default"/>
        <w:spacing w:val="0"/>
        <w:w w:val="99"/>
        <w:sz w:val="24"/>
        <w:szCs w:val="24"/>
        <w:lang w:val="az" w:eastAsia="en-US" w:bidi="ar-SA"/>
      </w:rPr>
    </w:lvl>
    <w:lvl w:ilvl="1" w:tplc="08DEAFE0">
      <w:start w:val="1"/>
      <w:numFmt w:val="decimal"/>
      <w:lvlText w:val="%2."/>
      <w:lvlJc w:val="left"/>
      <w:pPr>
        <w:ind w:left="100" w:hanging="389"/>
        <w:jc w:val="right"/>
      </w:pPr>
      <w:rPr>
        <w:rFonts w:ascii="Arial MT" w:eastAsia="Arial MT" w:hAnsi="Arial MT" w:cs="Arial MT" w:hint="default"/>
        <w:w w:val="99"/>
        <w:sz w:val="24"/>
        <w:szCs w:val="24"/>
        <w:lang w:val="az" w:eastAsia="en-US" w:bidi="ar-SA"/>
      </w:rPr>
    </w:lvl>
    <w:lvl w:ilvl="2" w:tplc="BCBE3E5E">
      <w:numFmt w:val="bullet"/>
      <w:lvlText w:val="•"/>
      <w:lvlJc w:val="left"/>
      <w:pPr>
        <w:ind w:left="2217" w:hanging="389"/>
      </w:pPr>
      <w:rPr>
        <w:rFonts w:hint="default"/>
        <w:lang w:val="az" w:eastAsia="en-US" w:bidi="ar-SA"/>
      </w:rPr>
    </w:lvl>
    <w:lvl w:ilvl="3" w:tplc="04962B68">
      <w:numFmt w:val="bullet"/>
      <w:lvlText w:val="•"/>
      <w:lvlJc w:val="left"/>
      <w:pPr>
        <w:ind w:left="3275" w:hanging="389"/>
      </w:pPr>
      <w:rPr>
        <w:rFonts w:hint="default"/>
        <w:lang w:val="az" w:eastAsia="en-US" w:bidi="ar-SA"/>
      </w:rPr>
    </w:lvl>
    <w:lvl w:ilvl="4" w:tplc="A42A75BC">
      <w:numFmt w:val="bullet"/>
      <w:lvlText w:val="•"/>
      <w:lvlJc w:val="left"/>
      <w:pPr>
        <w:ind w:left="4334" w:hanging="389"/>
      </w:pPr>
      <w:rPr>
        <w:rFonts w:hint="default"/>
        <w:lang w:val="az" w:eastAsia="en-US" w:bidi="ar-SA"/>
      </w:rPr>
    </w:lvl>
    <w:lvl w:ilvl="5" w:tplc="3C8A04F4">
      <w:numFmt w:val="bullet"/>
      <w:lvlText w:val="•"/>
      <w:lvlJc w:val="left"/>
      <w:pPr>
        <w:ind w:left="5393" w:hanging="389"/>
      </w:pPr>
      <w:rPr>
        <w:rFonts w:hint="default"/>
        <w:lang w:val="az" w:eastAsia="en-US" w:bidi="ar-SA"/>
      </w:rPr>
    </w:lvl>
    <w:lvl w:ilvl="6" w:tplc="68CE2A4C">
      <w:numFmt w:val="bullet"/>
      <w:lvlText w:val="•"/>
      <w:lvlJc w:val="left"/>
      <w:pPr>
        <w:ind w:left="6451" w:hanging="389"/>
      </w:pPr>
      <w:rPr>
        <w:rFonts w:hint="default"/>
        <w:lang w:val="az" w:eastAsia="en-US" w:bidi="ar-SA"/>
      </w:rPr>
    </w:lvl>
    <w:lvl w:ilvl="7" w:tplc="0DE697FC">
      <w:numFmt w:val="bullet"/>
      <w:lvlText w:val="•"/>
      <w:lvlJc w:val="left"/>
      <w:pPr>
        <w:ind w:left="7510" w:hanging="389"/>
      </w:pPr>
      <w:rPr>
        <w:rFonts w:hint="default"/>
        <w:lang w:val="az" w:eastAsia="en-US" w:bidi="ar-SA"/>
      </w:rPr>
    </w:lvl>
    <w:lvl w:ilvl="8" w:tplc="3B00FB78">
      <w:numFmt w:val="bullet"/>
      <w:lvlText w:val="•"/>
      <w:lvlJc w:val="left"/>
      <w:pPr>
        <w:ind w:left="8569" w:hanging="389"/>
      </w:pPr>
      <w:rPr>
        <w:rFonts w:hint="default"/>
        <w:lang w:val="az"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2E"/>
    <w:rsid w:val="00062841"/>
    <w:rsid w:val="000637D9"/>
    <w:rsid w:val="00063F69"/>
    <w:rsid w:val="000B2665"/>
    <w:rsid w:val="000B69C8"/>
    <w:rsid w:val="000D112E"/>
    <w:rsid w:val="0011752C"/>
    <w:rsid w:val="00146051"/>
    <w:rsid w:val="00151B94"/>
    <w:rsid w:val="0017141D"/>
    <w:rsid w:val="00381C9E"/>
    <w:rsid w:val="003A79BB"/>
    <w:rsid w:val="00404DBA"/>
    <w:rsid w:val="0041483B"/>
    <w:rsid w:val="00417282"/>
    <w:rsid w:val="0043539C"/>
    <w:rsid w:val="00464663"/>
    <w:rsid w:val="0048339F"/>
    <w:rsid w:val="00485F7F"/>
    <w:rsid w:val="004A7492"/>
    <w:rsid w:val="00507023"/>
    <w:rsid w:val="00547EEB"/>
    <w:rsid w:val="0058150C"/>
    <w:rsid w:val="00581CE8"/>
    <w:rsid w:val="005B2015"/>
    <w:rsid w:val="005C1CA4"/>
    <w:rsid w:val="005E5E3F"/>
    <w:rsid w:val="005F15D6"/>
    <w:rsid w:val="006014DF"/>
    <w:rsid w:val="00603E6A"/>
    <w:rsid w:val="00604D80"/>
    <w:rsid w:val="006349F4"/>
    <w:rsid w:val="00657293"/>
    <w:rsid w:val="006D1882"/>
    <w:rsid w:val="006D7972"/>
    <w:rsid w:val="006E6D86"/>
    <w:rsid w:val="00755A2A"/>
    <w:rsid w:val="007975F4"/>
    <w:rsid w:val="007C63C1"/>
    <w:rsid w:val="007C7C1F"/>
    <w:rsid w:val="007D41D8"/>
    <w:rsid w:val="00803E97"/>
    <w:rsid w:val="008116F7"/>
    <w:rsid w:val="008138CD"/>
    <w:rsid w:val="008614FD"/>
    <w:rsid w:val="009065F4"/>
    <w:rsid w:val="00913EA6"/>
    <w:rsid w:val="009D1C7E"/>
    <w:rsid w:val="009F14B8"/>
    <w:rsid w:val="009F32C7"/>
    <w:rsid w:val="00A34B87"/>
    <w:rsid w:val="00A46CE4"/>
    <w:rsid w:val="00A52368"/>
    <w:rsid w:val="00AA12AA"/>
    <w:rsid w:val="00AB051F"/>
    <w:rsid w:val="00AC3F80"/>
    <w:rsid w:val="00AE5BD8"/>
    <w:rsid w:val="00AF3FFD"/>
    <w:rsid w:val="00B05430"/>
    <w:rsid w:val="00BA7EDA"/>
    <w:rsid w:val="00BB77F0"/>
    <w:rsid w:val="00BD43ED"/>
    <w:rsid w:val="00BD76A1"/>
    <w:rsid w:val="00BF71D0"/>
    <w:rsid w:val="00C577CE"/>
    <w:rsid w:val="00C756C3"/>
    <w:rsid w:val="00D47F0A"/>
    <w:rsid w:val="00D8531B"/>
    <w:rsid w:val="00D85797"/>
    <w:rsid w:val="00DA0EBF"/>
    <w:rsid w:val="00DA53E7"/>
    <w:rsid w:val="00DC7AD6"/>
    <w:rsid w:val="00DD563A"/>
    <w:rsid w:val="00E034B9"/>
    <w:rsid w:val="00E132F1"/>
    <w:rsid w:val="00E27AB4"/>
    <w:rsid w:val="00E37810"/>
    <w:rsid w:val="00E441C6"/>
    <w:rsid w:val="00E76E07"/>
    <w:rsid w:val="00E935BF"/>
    <w:rsid w:val="00EC0029"/>
    <w:rsid w:val="00EC7C5F"/>
    <w:rsid w:val="00EE6CAB"/>
    <w:rsid w:val="00EE71D6"/>
    <w:rsid w:val="00F006C6"/>
    <w:rsid w:val="00F26EB2"/>
    <w:rsid w:val="00FB7857"/>
    <w:rsid w:val="00FC3F56"/>
    <w:rsid w:val="00FC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66A12-CF55-495C-8129-1A0689E7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2E"/>
    <w:pPr>
      <w:spacing w:after="0" w:line="240" w:lineRule="auto"/>
    </w:pPr>
    <w:rPr>
      <w:rFonts w:ascii="Times New Roman" w:eastAsia="Times New Roman" w:hAnsi="Times New Roman" w:cs="Times New Roman"/>
      <w:b/>
      <w:bCs/>
      <w:sz w:val="24"/>
      <w:szCs w:val="24"/>
      <w:lang w:val="az-Latn-AZ"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112E"/>
    <w:rPr>
      <w:sz w:val="20"/>
      <w:szCs w:val="20"/>
    </w:rPr>
  </w:style>
  <w:style w:type="character" w:customStyle="1" w:styleId="FootnoteTextChar">
    <w:name w:val="Footnote Text Char"/>
    <w:basedOn w:val="DefaultParagraphFont"/>
    <w:link w:val="FootnoteText"/>
    <w:uiPriority w:val="99"/>
    <w:semiHidden/>
    <w:rsid w:val="000D112E"/>
    <w:rPr>
      <w:rFonts w:ascii="Times New Roman" w:eastAsia="Times New Roman" w:hAnsi="Times New Roman" w:cs="Times New Roman"/>
      <w:b/>
      <w:bCs/>
      <w:sz w:val="20"/>
      <w:szCs w:val="20"/>
      <w:lang w:val="az-Latn-AZ" w:eastAsia="ru-RU"/>
    </w:rPr>
  </w:style>
  <w:style w:type="character" w:styleId="FootnoteReference">
    <w:name w:val="footnote reference"/>
    <w:basedOn w:val="DefaultParagraphFont"/>
    <w:semiHidden/>
    <w:rsid w:val="000D112E"/>
    <w:rPr>
      <w:vertAlign w:val="superscript"/>
    </w:rPr>
  </w:style>
  <w:style w:type="paragraph" w:styleId="ListParagraph">
    <w:name w:val="List Paragraph"/>
    <w:basedOn w:val="Normal"/>
    <w:uiPriority w:val="1"/>
    <w:qFormat/>
    <w:rsid w:val="00E935BF"/>
    <w:pPr>
      <w:ind w:left="720"/>
      <w:contextualSpacing/>
    </w:pPr>
  </w:style>
  <w:style w:type="paragraph" w:styleId="EndnoteText">
    <w:name w:val="endnote text"/>
    <w:basedOn w:val="Normal"/>
    <w:link w:val="EndnoteTextChar"/>
    <w:uiPriority w:val="99"/>
    <w:semiHidden/>
    <w:unhideWhenUsed/>
    <w:rsid w:val="006349F4"/>
    <w:rPr>
      <w:sz w:val="20"/>
      <w:szCs w:val="20"/>
    </w:rPr>
  </w:style>
  <w:style w:type="character" w:customStyle="1" w:styleId="EndnoteTextChar">
    <w:name w:val="Endnote Text Char"/>
    <w:basedOn w:val="DefaultParagraphFont"/>
    <w:link w:val="EndnoteText"/>
    <w:uiPriority w:val="99"/>
    <w:semiHidden/>
    <w:rsid w:val="006349F4"/>
    <w:rPr>
      <w:rFonts w:ascii="Times New Roman" w:eastAsia="Times New Roman" w:hAnsi="Times New Roman" w:cs="Times New Roman"/>
      <w:b/>
      <w:bCs/>
      <w:sz w:val="20"/>
      <w:szCs w:val="20"/>
      <w:lang w:val="az-Latn-AZ" w:eastAsia="ru-RU"/>
    </w:rPr>
  </w:style>
  <w:style w:type="character" w:styleId="EndnoteReference">
    <w:name w:val="endnote reference"/>
    <w:basedOn w:val="DefaultParagraphFont"/>
    <w:uiPriority w:val="99"/>
    <w:semiHidden/>
    <w:unhideWhenUsed/>
    <w:rsid w:val="006349F4"/>
    <w:rPr>
      <w:vertAlign w:val="superscript"/>
    </w:rPr>
  </w:style>
  <w:style w:type="paragraph" w:styleId="NoSpacing">
    <w:name w:val="No Spacing"/>
    <w:uiPriority w:val="1"/>
    <w:qFormat/>
    <w:rsid w:val="00DC7AD6"/>
    <w:pPr>
      <w:spacing w:after="0" w:line="240" w:lineRule="auto"/>
    </w:pPr>
    <w:rPr>
      <w:rFonts w:ascii="Times New Roman" w:eastAsia="Times New Roman" w:hAnsi="Times New Roman" w:cs="Times New Roman"/>
      <w:b/>
      <w:bCs/>
      <w:sz w:val="24"/>
      <w:szCs w:val="24"/>
      <w:lang w:val="az-Latn-AZ" w:eastAsia="ru-RU"/>
    </w:rPr>
  </w:style>
  <w:style w:type="paragraph" w:styleId="NormalWeb">
    <w:name w:val="Normal (Web)"/>
    <w:basedOn w:val="Normal"/>
    <w:uiPriority w:val="99"/>
    <w:unhideWhenUsed/>
    <w:rsid w:val="00EC0029"/>
    <w:pPr>
      <w:spacing w:before="100" w:beforeAutospacing="1" w:after="100" w:afterAutospacing="1"/>
    </w:pPr>
    <w:rPr>
      <w:b w:val="0"/>
      <w:bCs w:val="0"/>
      <w:lang w:val="en-US" w:eastAsia="en-US"/>
    </w:rPr>
  </w:style>
  <w:style w:type="paragraph" w:styleId="BodyText">
    <w:name w:val="Body Text"/>
    <w:basedOn w:val="Normal"/>
    <w:link w:val="BodyTextChar"/>
    <w:uiPriority w:val="1"/>
    <w:qFormat/>
    <w:rsid w:val="00C577CE"/>
    <w:pPr>
      <w:widowControl w:val="0"/>
      <w:autoSpaceDE w:val="0"/>
      <w:autoSpaceDN w:val="0"/>
      <w:ind w:left="100"/>
      <w:jc w:val="both"/>
    </w:pPr>
    <w:rPr>
      <w:rFonts w:ascii="Arial MT" w:eastAsia="Arial MT" w:hAnsi="Arial MT" w:cs="Arial MT"/>
      <w:b w:val="0"/>
      <w:bCs w:val="0"/>
      <w:lang w:val="az" w:eastAsia="en-US"/>
    </w:rPr>
  </w:style>
  <w:style w:type="character" w:customStyle="1" w:styleId="BodyTextChar">
    <w:name w:val="Body Text Char"/>
    <w:basedOn w:val="DefaultParagraphFont"/>
    <w:link w:val="BodyText"/>
    <w:uiPriority w:val="1"/>
    <w:rsid w:val="00C577CE"/>
    <w:rPr>
      <w:rFonts w:ascii="Arial MT" w:eastAsia="Arial MT" w:hAnsi="Arial MT" w:cs="Arial MT"/>
      <w:sz w:val="24"/>
      <w:szCs w:val="24"/>
      <w:lang w:val="az"/>
    </w:rPr>
  </w:style>
  <w:style w:type="paragraph" w:customStyle="1" w:styleId="TableParagraph">
    <w:name w:val="Table Paragraph"/>
    <w:basedOn w:val="Normal"/>
    <w:uiPriority w:val="1"/>
    <w:qFormat/>
    <w:rsid w:val="00C577CE"/>
    <w:pPr>
      <w:widowControl w:val="0"/>
      <w:autoSpaceDE w:val="0"/>
      <w:autoSpaceDN w:val="0"/>
    </w:pPr>
    <w:rPr>
      <w:rFonts w:ascii="Arial MT" w:eastAsia="Arial MT" w:hAnsi="Arial MT" w:cs="Arial MT"/>
      <w:b w:val="0"/>
      <w:bCs w:val="0"/>
      <w:sz w:val="22"/>
      <w:szCs w:val="22"/>
      <w:lang w:val="az" w:eastAsia="en-US"/>
    </w:rPr>
  </w:style>
  <w:style w:type="paragraph" w:styleId="BalloonText">
    <w:name w:val="Balloon Text"/>
    <w:basedOn w:val="Normal"/>
    <w:link w:val="BalloonTextChar"/>
    <w:uiPriority w:val="99"/>
    <w:semiHidden/>
    <w:unhideWhenUsed/>
    <w:rsid w:val="00A46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E4"/>
    <w:rPr>
      <w:rFonts w:ascii="Segoe UI" w:eastAsia="Times New Roman" w:hAnsi="Segoe UI" w:cs="Segoe UI"/>
      <w:b/>
      <w:bCs/>
      <w:sz w:val="18"/>
      <w:szCs w:val="18"/>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30277">
      <w:bodyDiv w:val="1"/>
      <w:marLeft w:val="0"/>
      <w:marRight w:val="0"/>
      <w:marTop w:val="0"/>
      <w:marBottom w:val="0"/>
      <w:divBdr>
        <w:top w:val="none" w:sz="0" w:space="0" w:color="auto"/>
        <w:left w:val="none" w:sz="0" w:space="0" w:color="auto"/>
        <w:bottom w:val="none" w:sz="0" w:space="0" w:color="auto"/>
        <w:right w:val="none" w:sz="0" w:space="0" w:color="auto"/>
      </w:divBdr>
    </w:div>
    <w:div w:id="1452700088">
      <w:bodyDiv w:val="1"/>
      <w:marLeft w:val="0"/>
      <w:marRight w:val="0"/>
      <w:marTop w:val="0"/>
      <w:marBottom w:val="0"/>
      <w:divBdr>
        <w:top w:val="none" w:sz="0" w:space="0" w:color="auto"/>
        <w:left w:val="none" w:sz="0" w:space="0" w:color="auto"/>
        <w:bottom w:val="none" w:sz="0" w:space="0" w:color="auto"/>
        <w:right w:val="none" w:sz="0" w:space="0" w:color="auto"/>
      </w:divBdr>
    </w:div>
    <w:div w:id="19485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6889-4EFD-41D8-B460-42A1E0A3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Azerbaijan Deposit Insurance Fund</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dc:creator>
  <cp:keywords/>
  <dc:description/>
  <cp:lastModifiedBy>Khayal B. Rzai</cp:lastModifiedBy>
  <cp:revision>3</cp:revision>
  <cp:lastPrinted>2021-07-27T06:46:00Z</cp:lastPrinted>
  <dcterms:created xsi:type="dcterms:W3CDTF">2021-07-27T07:00:00Z</dcterms:created>
  <dcterms:modified xsi:type="dcterms:W3CDTF">2021-07-27T13:34:00Z</dcterms:modified>
</cp:coreProperties>
</file>